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p>
    <w:p>
      <w:pPr>
        <w:spacing w:beforeLines="100"/>
        <w:rPr>
          <w:rFonts w:hint="eastAsia" w:ascii="仿宋" w:hAnsi="仿宋" w:eastAsia="仿宋" w:cs="仿宋"/>
          <w:sz w:val="32"/>
          <w:szCs w:val="32"/>
          <w:lang w:val="en-US" w:eastAsia="zh-CN"/>
        </w:rPr>
      </w:pPr>
      <w:r>
        <w:rPr>
          <w:rFonts w:hint="eastAsia" w:ascii="仿宋" w:hAnsi="仿宋" w:eastAsia="仿宋" w:cs="仿宋"/>
          <w:sz w:val="32"/>
          <w:szCs w:val="32"/>
        </w:rPr>
        <w:t xml:space="preserve">                              武大土建函〔2017〕</w:t>
      </w:r>
      <w:r>
        <w:rPr>
          <w:rFonts w:hint="eastAsia" w:ascii="仿宋" w:hAnsi="仿宋" w:eastAsia="仿宋" w:cs="仿宋"/>
          <w:sz w:val="32"/>
          <w:szCs w:val="32"/>
          <w:lang w:val="en-US" w:eastAsia="zh-CN"/>
        </w:rPr>
        <w:t>15</w:t>
      </w:r>
      <w:r>
        <w:rPr>
          <w:rFonts w:hint="eastAsia" w:ascii="仿宋" w:hAnsi="仿宋" w:eastAsia="仿宋" w:cs="仿宋"/>
          <w:sz w:val="32"/>
          <w:szCs w:val="32"/>
        </w:rPr>
        <w:t>号</w:t>
      </w:r>
    </w:p>
    <w:p>
      <w:pPr>
        <w:keepNext w:val="0"/>
        <w:keepLines w:val="0"/>
        <w:pageBreakBefore w:val="0"/>
        <w:widowControl w:val="0"/>
        <w:kinsoku/>
        <w:wordWrap/>
        <w:overflowPunct/>
        <w:topLinePunct w:val="0"/>
        <w:autoSpaceDE/>
        <w:autoSpaceDN/>
        <w:bidi w:val="0"/>
        <w:adjustRightInd/>
        <w:snapToGrid/>
        <w:spacing w:before="313" w:beforeLines="100"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b/>
          <w:bCs/>
          <w:color w:val="000000"/>
          <w:kern w:val="36"/>
          <w:sz w:val="44"/>
          <w:szCs w:val="44"/>
          <w:lang w:val="en-US" w:eastAsia="zh-CN" w:bidi="ar-SA"/>
        </w:rPr>
      </w:pPr>
      <w:r>
        <w:rPr>
          <w:rFonts w:hint="eastAsia" w:asciiTheme="majorEastAsia" w:hAnsiTheme="majorEastAsia" w:eastAsiaTheme="majorEastAsia" w:cstheme="majorEastAsia"/>
          <w:b/>
          <w:bCs/>
          <w:color w:val="000000"/>
          <w:kern w:val="36"/>
          <w:sz w:val="44"/>
          <w:szCs w:val="44"/>
          <w:lang w:val="en-US" w:eastAsia="zh-CN" w:bidi="ar-SA"/>
        </w:rPr>
        <w:t>土木建筑工程学院</w:t>
      </w:r>
    </w:p>
    <w:p>
      <w:pPr>
        <w:jc w:val="center"/>
        <w:rPr>
          <w:rFonts w:hint="eastAsia" w:asciiTheme="majorEastAsia" w:hAnsiTheme="majorEastAsia" w:eastAsiaTheme="majorEastAsia" w:cstheme="majorEastAsia"/>
          <w:b/>
          <w:bCs/>
          <w:color w:val="000000"/>
          <w:kern w:val="36"/>
          <w:sz w:val="44"/>
          <w:szCs w:val="44"/>
          <w:lang w:val="en-US" w:eastAsia="zh-CN" w:bidi="ar-SA"/>
        </w:rPr>
      </w:pPr>
      <w:r>
        <w:rPr>
          <w:rFonts w:hint="eastAsia" w:asciiTheme="majorEastAsia" w:hAnsiTheme="majorEastAsia" w:eastAsiaTheme="majorEastAsia" w:cstheme="majorEastAsia"/>
          <w:b/>
          <w:bCs/>
          <w:color w:val="000000"/>
          <w:kern w:val="36"/>
          <w:sz w:val="44"/>
          <w:szCs w:val="44"/>
          <w:lang w:val="en-US" w:eastAsia="zh-CN" w:bidi="ar-SA"/>
        </w:rPr>
        <w:t>研究生培养经费管理办法</w:t>
      </w:r>
    </w:p>
    <w:p>
      <w:pPr>
        <w:pStyle w:val="3"/>
        <w:spacing w:before="0" w:beforeAutospacing="0" w:after="0" w:afterAutospacing="0" w:line="440" w:lineRule="exact"/>
        <w:ind w:firstLine="480" w:firstLineChars="200"/>
        <w:rPr>
          <w:rFonts w:hint="eastAsia" w:ascii="Verdana" w:hAnsi="Verdana"/>
          <w:color w:val="000000"/>
          <w:shd w:val="clear" w:color="auto" w:fill="FFFFFF"/>
        </w:rPr>
      </w:pPr>
    </w:p>
    <w:p>
      <w:pPr>
        <w:pStyle w:val="3"/>
        <w:keepNext w:val="0"/>
        <w:keepLines w:val="0"/>
        <w:pageBreakBefore w:val="0"/>
        <w:kinsoku/>
        <w:wordWrap/>
        <w:overflowPunct/>
        <w:topLinePunct w:val="0"/>
        <w:autoSpaceDE/>
        <w:autoSpaceDN/>
        <w:bidi w:val="0"/>
        <w:adjustRightInd/>
        <w:spacing w:beforeAutospacing="0" w:afterAutospacing="0" w:line="520" w:lineRule="exact"/>
        <w:ind w:right="0" w:rightChars="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根据学校《关于规范研究生毕业论文评阅及答辩酬金开支的专题会议纪要》（2016第八十期）文件精神，为进一步加强学院研究生培养经费的管理，保障研究生培养经费的合理使用，规范研究生培养经费的使用程序，结合学院实际，现制定本办法。</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一、研究生培养经费的管理</w:t>
      </w:r>
    </w:p>
    <w:p>
      <w:pPr>
        <w:pStyle w:val="3"/>
        <w:keepNext w:val="0"/>
        <w:keepLines w:val="0"/>
        <w:pageBreakBefore w:val="0"/>
        <w:kinsoku/>
        <w:wordWrap/>
        <w:overflowPunct/>
        <w:topLinePunct w:val="0"/>
        <w:autoSpaceDE/>
        <w:autoSpaceDN/>
        <w:bidi w:val="0"/>
        <w:adjustRightInd/>
        <w:spacing w:beforeAutospacing="0" w:afterAutospacing="0" w:line="520" w:lineRule="exact"/>
        <w:ind w:right="0" w:rightChars="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研究生培养经费实行学校、学院和研究生导师三级管理，实行“专款专用，按年拨付，限期用完”的办法。</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right="0" w:rightChars="0" w:firstLine="64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二、研究生培养经费的核拨标准</w:t>
      </w:r>
    </w:p>
    <w:tbl>
      <w:tblPr>
        <w:tblStyle w:val="5"/>
        <w:tblW w:w="8472" w:type="dxa"/>
        <w:tblInd w:w="0" w:type="dxa"/>
        <w:tblLayout w:type="fixed"/>
        <w:tblCellMar>
          <w:top w:w="0" w:type="dxa"/>
          <w:left w:w="108" w:type="dxa"/>
          <w:bottom w:w="0" w:type="dxa"/>
          <w:right w:w="108" w:type="dxa"/>
        </w:tblCellMar>
      </w:tblPr>
      <w:tblGrid>
        <w:gridCol w:w="2093"/>
        <w:gridCol w:w="1204"/>
        <w:gridCol w:w="1205"/>
        <w:gridCol w:w="1205"/>
        <w:gridCol w:w="1205"/>
        <w:gridCol w:w="1560"/>
      </w:tblGrid>
      <w:tr>
        <w:tblPrEx>
          <w:tblLayout w:type="fixed"/>
          <w:tblCellMar>
            <w:top w:w="0" w:type="dxa"/>
            <w:left w:w="108" w:type="dxa"/>
            <w:bottom w:w="0" w:type="dxa"/>
            <w:right w:w="108" w:type="dxa"/>
          </w:tblCellMar>
        </w:tblPrEx>
        <w:trPr>
          <w:cantSplit/>
          <w:trHeight w:val="20" w:hRule="atLeast"/>
        </w:trPr>
        <w:tc>
          <w:tcPr>
            <w:tcW w:w="2093" w:type="dxa"/>
            <w:tcBorders>
              <w:top w:val="single" w:color="auto" w:sz="4" w:space="0"/>
              <w:left w:val="single" w:color="auto" w:sz="4" w:space="0"/>
              <w:bottom w:val="single" w:color="auto" w:sz="4" w:space="0"/>
              <w:right w:val="single" w:color="auto" w:sz="4" w:space="0"/>
              <w:tl2br w:val="single" w:color="auto" w:sz="4" w:space="0"/>
            </w:tcBorders>
            <w:vAlign w:val="center"/>
          </w:tcPr>
          <w:p>
            <w:pPr>
              <w:widowControl/>
              <w:spacing w:line="400" w:lineRule="exact"/>
              <w:rPr>
                <w:rFonts w:hint="eastAsia" w:ascii="宋体" w:hAnsi="宋体" w:cs="宋体"/>
                <w:kern w:val="0"/>
                <w:sz w:val="24"/>
              </w:rPr>
            </w:pPr>
            <w:r>
              <w:rPr>
                <w:rFonts w:hint="eastAsia" w:ascii="宋体" w:hAnsi="宋体" w:cs="宋体"/>
                <w:kern w:val="0"/>
                <w:sz w:val="24"/>
              </w:rPr>
              <w:t>　        元/人</w:t>
            </w:r>
          </w:p>
          <w:p>
            <w:pPr>
              <w:widowControl/>
              <w:spacing w:line="400" w:lineRule="exact"/>
              <w:rPr>
                <w:rFonts w:ascii="宋体" w:hAnsi="宋体" w:cs="宋体"/>
                <w:kern w:val="0"/>
                <w:sz w:val="24"/>
              </w:rPr>
            </w:pPr>
            <w:r>
              <w:rPr>
                <w:rFonts w:hint="eastAsia" w:ascii="宋体" w:hAnsi="宋体" w:cs="宋体"/>
                <w:kern w:val="0"/>
                <w:sz w:val="24"/>
              </w:rPr>
              <w:t>研究生种类</w:t>
            </w:r>
          </w:p>
        </w:tc>
        <w:tc>
          <w:tcPr>
            <w:tcW w:w="1204"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一年级</w:t>
            </w:r>
          </w:p>
        </w:tc>
        <w:tc>
          <w:tcPr>
            <w:tcW w:w="120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二年级</w:t>
            </w:r>
          </w:p>
        </w:tc>
        <w:tc>
          <w:tcPr>
            <w:tcW w:w="120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三年级</w:t>
            </w:r>
          </w:p>
        </w:tc>
        <w:tc>
          <w:tcPr>
            <w:tcW w:w="120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合计</w:t>
            </w:r>
          </w:p>
        </w:tc>
        <w:tc>
          <w:tcPr>
            <w:tcW w:w="1560" w:type="dxa"/>
            <w:tcBorders>
              <w:top w:val="single" w:color="auto" w:sz="4" w:space="0"/>
              <w:left w:val="nil"/>
              <w:bottom w:val="single" w:color="auto" w:sz="4" w:space="0"/>
              <w:right w:val="single" w:color="auto" w:sz="4" w:space="0"/>
            </w:tcBorders>
            <w:vAlign w:val="top"/>
          </w:tcPr>
          <w:p>
            <w:pPr>
              <w:widowControl/>
              <w:spacing w:line="400" w:lineRule="exact"/>
              <w:jc w:val="center"/>
              <w:rPr>
                <w:rFonts w:hint="eastAsia" w:ascii="宋体" w:hAnsi="宋体" w:cs="宋体"/>
                <w:kern w:val="0"/>
                <w:sz w:val="24"/>
              </w:rPr>
            </w:pPr>
            <w:r>
              <w:rPr>
                <w:rFonts w:hint="eastAsia" w:ascii="宋体" w:hAnsi="宋体" w:cs="宋体"/>
                <w:kern w:val="0"/>
                <w:sz w:val="24"/>
              </w:rPr>
              <w:t>备注</w:t>
            </w:r>
          </w:p>
        </w:tc>
      </w:tr>
      <w:tr>
        <w:tblPrEx>
          <w:tblLayout w:type="fixed"/>
          <w:tblCellMar>
            <w:top w:w="0" w:type="dxa"/>
            <w:left w:w="108" w:type="dxa"/>
            <w:bottom w:w="0" w:type="dxa"/>
            <w:right w:w="108" w:type="dxa"/>
          </w:tblCellMar>
        </w:tblPrEx>
        <w:trPr>
          <w:cantSplit/>
          <w:trHeight w:val="20" w:hRule="atLeast"/>
        </w:trPr>
        <w:tc>
          <w:tcPr>
            <w:tcW w:w="2093" w:type="dxa"/>
            <w:tcBorders>
              <w:top w:val="nil"/>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 w:val="24"/>
              </w:rPr>
            </w:pPr>
            <w:r>
              <w:rPr>
                <w:rFonts w:hint="eastAsia" w:ascii="宋体" w:hAnsi="宋体" w:cs="宋体"/>
                <w:kern w:val="0"/>
                <w:sz w:val="24"/>
              </w:rPr>
              <w:t>硕士（2年制）</w:t>
            </w:r>
          </w:p>
        </w:tc>
        <w:tc>
          <w:tcPr>
            <w:tcW w:w="1204"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1000</w:t>
            </w:r>
          </w:p>
        </w:tc>
        <w:tc>
          <w:tcPr>
            <w:tcW w:w="1205"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1000</w:t>
            </w:r>
          </w:p>
        </w:tc>
        <w:tc>
          <w:tcPr>
            <w:tcW w:w="1205"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4"/>
              </w:rPr>
            </w:pPr>
          </w:p>
        </w:tc>
        <w:tc>
          <w:tcPr>
            <w:tcW w:w="1205"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2000</w:t>
            </w:r>
          </w:p>
        </w:tc>
        <w:tc>
          <w:tcPr>
            <w:tcW w:w="1560" w:type="dxa"/>
            <w:tcBorders>
              <w:top w:val="nil"/>
              <w:left w:val="nil"/>
              <w:bottom w:val="single" w:color="auto" w:sz="4" w:space="0"/>
              <w:right w:val="single" w:color="auto" w:sz="4" w:space="0"/>
            </w:tcBorders>
            <w:vAlign w:val="top"/>
          </w:tcPr>
          <w:p>
            <w:pPr>
              <w:widowControl/>
              <w:spacing w:line="400" w:lineRule="exact"/>
              <w:jc w:val="center"/>
              <w:rPr>
                <w:rFonts w:hint="eastAsia" w:ascii="宋体" w:hAnsi="宋体" w:cs="宋体"/>
                <w:kern w:val="0"/>
                <w:sz w:val="24"/>
              </w:rPr>
            </w:pPr>
          </w:p>
        </w:tc>
      </w:tr>
      <w:tr>
        <w:tblPrEx>
          <w:tblLayout w:type="fixed"/>
          <w:tblCellMar>
            <w:top w:w="0" w:type="dxa"/>
            <w:left w:w="108" w:type="dxa"/>
            <w:bottom w:w="0" w:type="dxa"/>
            <w:right w:w="108" w:type="dxa"/>
          </w:tblCellMar>
        </w:tblPrEx>
        <w:trPr>
          <w:cantSplit/>
          <w:trHeight w:val="20" w:hRule="atLeast"/>
        </w:trPr>
        <w:tc>
          <w:tcPr>
            <w:tcW w:w="2093" w:type="dxa"/>
            <w:tcBorders>
              <w:top w:val="nil"/>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 w:val="24"/>
              </w:rPr>
            </w:pPr>
            <w:r>
              <w:rPr>
                <w:rFonts w:hint="eastAsia" w:ascii="宋体" w:hAnsi="宋体" w:cs="宋体"/>
                <w:kern w:val="0"/>
                <w:sz w:val="24"/>
              </w:rPr>
              <w:t>硕士（3年制）</w:t>
            </w:r>
          </w:p>
        </w:tc>
        <w:tc>
          <w:tcPr>
            <w:tcW w:w="1204"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1000</w:t>
            </w:r>
          </w:p>
        </w:tc>
        <w:tc>
          <w:tcPr>
            <w:tcW w:w="1205"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1000</w:t>
            </w:r>
          </w:p>
        </w:tc>
        <w:tc>
          <w:tcPr>
            <w:tcW w:w="1205"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1000</w:t>
            </w:r>
          </w:p>
        </w:tc>
        <w:tc>
          <w:tcPr>
            <w:tcW w:w="1205"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3000</w:t>
            </w:r>
          </w:p>
        </w:tc>
        <w:tc>
          <w:tcPr>
            <w:tcW w:w="1560" w:type="dxa"/>
            <w:tcBorders>
              <w:top w:val="nil"/>
              <w:left w:val="nil"/>
              <w:bottom w:val="single" w:color="auto" w:sz="4" w:space="0"/>
              <w:right w:val="single" w:color="auto" w:sz="4" w:space="0"/>
            </w:tcBorders>
            <w:vAlign w:val="top"/>
          </w:tcPr>
          <w:p>
            <w:pPr>
              <w:widowControl/>
              <w:spacing w:line="400" w:lineRule="exact"/>
              <w:jc w:val="center"/>
              <w:rPr>
                <w:rFonts w:hint="eastAsia" w:ascii="宋体" w:hAnsi="宋体" w:cs="宋体"/>
                <w:kern w:val="0"/>
                <w:sz w:val="24"/>
              </w:rPr>
            </w:pPr>
          </w:p>
        </w:tc>
      </w:tr>
      <w:tr>
        <w:tblPrEx>
          <w:tblLayout w:type="fixed"/>
          <w:tblCellMar>
            <w:top w:w="0" w:type="dxa"/>
            <w:left w:w="108" w:type="dxa"/>
            <w:bottom w:w="0" w:type="dxa"/>
            <w:right w:w="108" w:type="dxa"/>
          </w:tblCellMar>
        </w:tblPrEx>
        <w:trPr>
          <w:cantSplit/>
          <w:trHeight w:val="20" w:hRule="atLeast"/>
        </w:trPr>
        <w:tc>
          <w:tcPr>
            <w:tcW w:w="2093" w:type="dxa"/>
            <w:tcBorders>
              <w:top w:val="nil"/>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 w:val="24"/>
              </w:rPr>
            </w:pPr>
            <w:r>
              <w:rPr>
                <w:rFonts w:hint="eastAsia" w:ascii="宋体" w:hAnsi="宋体" w:cs="宋体"/>
                <w:kern w:val="0"/>
                <w:sz w:val="24"/>
              </w:rPr>
              <w:t>博士</w:t>
            </w:r>
          </w:p>
        </w:tc>
        <w:tc>
          <w:tcPr>
            <w:tcW w:w="1204"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1500</w:t>
            </w:r>
          </w:p>
        </w:tc>
        <w:tc>
          <w:tcPr>
            <w:tcW w:w="1205"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1500</w:t>
            </w:r>
          </w:p>
        </w:tc>
        <w:tc>
          <w:tcPr>
            <w:tcW w:w="1205"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1500</w:t>
            </w:r>
          </w:p>
        </w:tc>
        <w:tc>
          <w:tcPr>
            <w:tcW w:w="1205"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4500</w:t>
            </w:r>
          </w:p>
        </w:tc>
        <w:tc>
          <w:tcPr>
            <w:tcW w:w="1560" w:type="dxa"/>
            <w:tcBorders>
              <w:top w:val="nil"/>
              <w:left w:val="nil"/>
              <w:bottom w:val="single" w:color="auto" w:sz="4" w:space="0"/>
              <w:right w:val="single" w:color="auto" w:sz="4" w:space="0"/>
            </w:tcBorders>
            <w:vAlign w:val="top"/>
          </w:tcPr>
          <w:p>
            <w:pPr>
              <w:widowControl/>
              <w:spacing w:line="400" w:lineRule="exact"/>
              <w:jc w:val="center"/>
              <w:rPr>
                <w:rFonts w:hint="eastAsia" w:ascii="宋体" w:hAnsi="宋体" w:cs="宋体"/>
                <w:kern w:val="0"/>
                <w:sz w:val="24"/>
              </w:rPr>
            </w:pPr>
          </w:p>
        </w:tc>
      </w:tr>
      <w:tr>
        <w:tblPrEx>
          <w:tblLayout w:type="fixed"/>
          <w:tblCellMar>
            <w:top w:w="0" w:type="dxa"/>
            <w:left w:w="108" w:type="dxa"/>
            <w:bottom w:w="0" w:type="dxa"/>
            <w:right w:w="108" w:type="dxa"/>
          </w:tblCellMar>
        </w:tblPrEx>
        <w:trPr>
          <w:cantSplit/>
          <w:trHeight w:val="20" w:hRule="atLeast"/>
        </w:trPr>
        <w:tc>
          <w:tcPr>
            <w:tcW w:w="2093" w:type="dxa"/>
            <w:tcBorders>
              <w:top w:val="nil"/>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 w:val="24"/>
              </w:rPr>
            </w:pPr>
            <w:r>
              <w:rPr>
                <w:rFonts w:hint="eastAsia" w:ascii="宋体" w:hAnsi="宋体" w:cs="宋体"/>
                <w:kern w:val="0"/>
                <w:sz w:val="24"/>
              </w:rPr>
              <w:t>工程硕士（既有）</w:t>
            </w:r>
          </w:p>
        </w:tc>
        <w:tc>
          <w:tcPr>
            <w:tcW w:w="1204"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4"/>
              </w:rPr>
            </w:pPr>
          </w:p>
        </w:tc>
        <w:tc>
          <w:tcPr>
            <w:tcW w:w="1205"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4"/>
              </w:rPr>
            </w:pPr>
          </w:p>
        </w:tc>
        <w:tc>
          <w:tcPr>
            <w:tcW w:w="1205"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FF0000"/>
                <w:kern w:val="0"/>
                <w:sz w:val="24"/>
              </w:rPr>
            </w:pPr>
            <w:r>
              <w:rPr>
                <w:rFonts w:hint="eastAsia" w:ascii="宋体" w:hAnsi="宋体" w:cs="宋体"/>
                <w:kern w:val="0"/>
                <w:sz w:val="24"/>
              </w:rPr>
              <w:t>800</w:t>
            </w:r>
          </w:p>
        </w:tc>
        <w:tc>
          <w:tcPr>
            <w:tcW w:w="1205"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800</w:t>
            </w:r>
          </w:p>
        </w:tc>
        <w:tc>
          <w:tcPr>
            <w:tcW w:w="1560" w:type="dxa"/>
            <w:tcBorders>
              <w:top w:val="nil"/>
              <w:left w:val="nil"/>
              <w:bottom w:val="single" w:color="auto" w:sz="4" w:space="0"/>
              <w:right w:val="single" w:color="auto" w:sz="4" w:space="0"/>
            </w:tcBorders>
            <w:vAlign w:val="top"/>
          </w:tcPr>
          <w:p>
            <w:pPr>
              <w:widowControl/>
              <w:spacing w:line="400" w:lineRule="exact"/>
              <w:jc w:val="center"/>
              <w:rPr>
                <w:rFonts w:hint="eastAsia" w:ascii="宋体" w:hAnsi="宋体" w:cs="宋体"/>
                <w:kern w:val="0"/>
                <w:sz w:val="24"/>
              </w:rPr>
            </w:pPr>
            <w:r>
              <w:rPr>
                <w:rFonts w:hint="eastAsia" w:ascii="宋体" w:hAnsi="宋体" w:cs="宋体"/>
                <w:kern w:val="0"/>
                <w:sz w:val="24"/>
              </w:rPr>
              <w:t>答辩完支付</w:t>
            </w:r>
          </w:p>
        </w:tc>
      </w:tr>
      <w:tr>
        <w:tblPrEx>
          <w:tblLayout w:type="fixed"/>
          <w:tblCellMar>
            <w:top w:w="0" w:type="dxa"/>
            <w:left w:w="108" w:type="dxa"/>
            <w:bottom w:w="0" w:type="dxa"/>
            <w:right w:w="108" w:type="dxa"/>
          </w:tblCellMar>
        </w:tblPrEx>
        <w:trPr>
          <w:cantSplit/>
          <w:trHeight w:val="20" w:hRule="atLeast"/>
        </w:trPr>
        <w:tc>
          <w:tcPr>
            <w:tcW w:w="2093" w:type="dxa"/>
            <w:tcBorders>
              <w:top w:val="nil"/>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 w:val="24"/>
              </w:rPr>
            </w:pPr>
            <w:r>
              <w:rPr>
                <w:rFonts w:ascii="宋体" w:hAnsi="宋体" w:cs="宋体"/>
                <w:kern w:val="0"/>
                <w:sz w:val="24"/>
              </w:rPr>
              <w:t>非全日工程硕士</w:t>
            </w:r>
          </w:p>
        </w:tc>
        <w:tc>
          <w:tcPr>
            <w:tcW w:w="1204"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1000</w:t>
            </w:r>
          </w:p>
        </w:tc>
        <w:tc>
          <w:tcPr>
            <w:tcW w:w="1205"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1000*</w:t>
            </w:r>
          </w:p>
        </w:tc>
        <w:tc>
          <w:tcPr>
            <w:tcW w:w="1205"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4"/>
              </w:rPr>
            </w:pPr>
          </w:p>
        </w:tc>
        <w:tc>
          <w:tcPr>
            <w:tcW w:w="1205"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2000</w:t>
            </w:r>
          </w:p>
        </w:tc>
        <w:tc>
          <w:tcPr>
            <w:tcW w:w="1560" w:type="dxa"/>
            <w:tcBorders>
              <w:top w:val="nil"/>
              <w:left w:val="nil"/>
              <w:bottom w:val="single" w:color="auto" w:sz="4" w:space="0"/>
              <w:right w:val="single" w:color="auto" w:sz="4" w:space="0"/>
            </w:tcBorders>
            <w:vAlign w:val="top"/>
          </w:tcPr>
          <w:p>
            <w:pPr>
              <w:widowControl/>
              <w:spacing w:line="400" w:lineRule="exact"/>
              <w:jc w:val="center"/>
              <w:rPr>
                <w:rFonts w:hint="eastAsia" w:ascii="宋体" w:hAnsi="宋体" w:cs="宋体"/>
                <w:kern w:val="0"/>
                <w:sz w:val="24"/>
              </w:rPr>
            </w:pPr>
            <w:r>
              <w:rPr>
                <w:rFonts w:hint="eastAsia" w:ascii="宋体" w:hAnsi="宋体" w:cs="宋体"/>
                <w:kern w:val="0"/>
                <w:sz w:val="24"/>
              </w:rPr>
              <w:t>答辩完支付</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三、研究生培养经费的核拨方式</w:t>
      </w:r>
    </w:p>
    <w:p>
      <w:pPr>
        <w:pStyle w:val="3"/>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left="1" w:right="0" w:rightChars="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1.委培研究生的培养经费分两次拨付：第一学年先行拨付，剩余培养经费在研究生申请学位论文答辩当年拨齐。另，工程硕士（既有）的培养经费在其申请学位论文答辩完成当年一次性拨付；</w:t>
      </w:r>
    </w:p>
    <w:p>
      <w:pPr>
        <w:pStyle w:val="3"/>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left="1" w:right="0" w:rightChars="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2.除委培研究生外，其他研究生的培养经费按标准分年度拨付；</w:t>
      </w:r>
    </w:p>
    <w:p>
      <w:pPr>
        <w:pStyle w:val="3"/>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left="1" w:right="0" w:rightChars="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3.申请延期的研究生在延长期内按规定学制标准拨付培养经费；</w:t>
      </w:r>
    </w:p>
    <w:p>
      <w:pPr>
        <w:pStyle w:val="3"/>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left="1" w:right="0" w:rightChars="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4.研究生在保留入学资格和休学期间停止拨付培养经费。</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四、研究生培养经费的使用范围</w:t>
      </w:r>
    </w:p>
    <w:p>
      <w:pPr>
        <w:pStyle w:val="3"/>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left="480" w:right="0" w:rightChars="0" w:hanging="480" w:hanging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1.与论文有关的试验、计算所必须的小额试验器材和耗材费；</w:t>
      </w:r>
      <w:r>
        <w:rPr>
          <w:rFonts w:hint="eastAsia" w:ascii="仿宋" w:hAnsi="仿宋" w:eastAsia="仿宋" w:cs="仿宋"/>
          <w:kern w:val="2"/>
          <w:sz w:val="32"/>
          <w:szCs w:val="32"/>
          <w:lang w:val="en-US" w:eastAsia="zh-CN" w:bidi="ar-SA"/>
        </w:rPr>
        <w:br w:type="textWrapping"/>
      </w:r>
      <w:r>
        <w:rPr>
          <w:rFonts w:hint="eastAsia" w:ascii="仿宋" w:hAnsi="仿宋" w:eastAsia="仿宋" w:cs="仿宋"/>
          <w:kern w:val="2"/>
          <w:sz w:val="32"/>
          <w:szCs w:val="32"/>
          <w:lang w:val="en-US" w:eastAsia="zh-CN" w:bidi="ar-SA"/>
        </w:rPr>
        <w:t>2.专业参考书刊费、资料费（含打印、复印费）；</w:t>
      </w:r>
      <w:r>
        <w:rPr>
          <w:rFonts w:hint="eastAsia" w:ascii="仿宋" w:hAnsi="仿宋" w:eastAsia="仿宋" w:cs="仿宋"/>
          <w:kern w:val="2"/>
          <w:sz w:val="32"/>
          <w:szCs w:val="32"/>
          <w:lang w:val="en-US" w:eastAsia="zh-CN" w:bidi="ar-SA"/>
        </w:rPr>
        <w:br w:type="textWrapping"/>
      </w:r>
      <w:r>
        <w:rPr>
          <w:rFonts w:hint="eastAsia" w:ascii="仿宋" w:hAnsi="仿宋" w:eastAsia="仿宋" w:cs="仿宋"/>
          <w:kern w:val="2"/>
          <w:sz w:val="32"/>
          <w:szCs w:val="32"/>
          <w:lang w:val="en-US" w:eastAsia="zh-CN" w:bidi="ar-SA"/>
        </w:rPr>
        <w:t>3.研究生参加学术会议或外出调研差旅费；</w:t>
      </w:r>
      <w:r>
        <w:rPr>
          <w:rFonts w:hint="eastAsia" w:ascii="仿宋" w:hAnsi="仿宋" w:eastAsia="仿宋" w:cs="仿宋"/>
          <w:kern w:val="2"/>
          <w:sz w:val="32"/>
          <w:szCs w:val="32"/>
          <w:lang w:val="en-US" w:eastAsia="zh-CN" w:bidi="ar-SA"/>
        </w:rPr>
        <w:br w:type="textWrapping"/>
      </w:r>
      <w:r>
        <w:rPr>
          <w:rFonts w:hint="eastAsia" w:ascii="仿宋" w:hAnsi="仿宋" w:eastAsia="仿宋" w:cs="仿宋"/>
          <w:kern w:val="2"/>
          <w:sz w:val="32"/>
          <w:szCs w:val="32"/>
          <w:lang w:val="en-US" w:eastAsia="zh-CN" w:bidi="ar-SA"/>
        </w:rPr>
        <w:t>4.研究生学术论文发表版面费、学位论文打印、印刷费；</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五、研究生培养经费的报销流程</w:t>
      </w:r>
    </w:p>
    <w:p>
      <w:pPr>
        <w:pStyle w:val="3"/>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left="1" w:right="0" w:rightChars="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1.办理借款或报账手续时，发票、报销单或借款单的经手人需研究生导师签字（研究生无权签字），经学院研究生教学秘书审核、下账、盖章后，由学院分管财务的领导审批、签字，再送至核算二科办理借款和报销手续。</w:t>
      </w:r>
    </w:p>
    <w:p>
      <w:pPr>
        <w:pStyle w:val="3"/>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left="1" w:right="0" w:rightChars="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2.学院定期对研究生培养经费的使用情况进行检查，若发现培养经费超支等违规情况，将暂停经费卡当年的使用权限，并在下一年度划拨培养经费时扣除超支部分。</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六、研究生培养经费的使用期限</w:t>
      </w:r>
    </w:p>
    <w:p>
      <w:pPr>
        <w:pStyle w:val="3"/>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right="0" w:rightChars="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研究生培养经费原则上须在研究生办理毕业手续的当年内使用完毕，学院研究生教学秘书根据研究生导师的在籍研究生人数审核导师结余培养经费，超过一年未使用完者，学院将收回其剩余部分培养经费。在此办法正式实施之前，存在部分导师所带研究生已全部毕业但仍有结余培养经费的情况，该导师须在办法实施之日起两年之内使用完毕，逾期仍未用完者，学院将收回其剩余部分培养经费。</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七、研究生论文评阅、答辩费酬金开支标准及发放办法</w:t>
      </w:r>
    </w:p>
    <w:p>
      <w:pPr>
        <w:pStyle w:val="3"/>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right="0" w:rightChars="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1.硕士论文</w:t>
      </w:r>
    </w:p>
    <w:p>
      <w:pPr>
        <w:pStyle w:val="3"/>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right="0" w:rightChars="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论文评阅人2人，200元/人；答辩委员会成员5人，200元/人；答辩委员会秘书1人，70元/人，合计1470元。</w:t>
      </w:r>
    </w:p>
    <w:p>
      <w:pPr>
        <w:pStyle w:val="3"/>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right="0" w:rightChars="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2.博士论文</w:t>
      </w:r>
    </w:p>
    <w:p>
      <w:pPr>
        <w:pStyle w:val="3"/>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right="0" w:rightChars="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论文评阅人3人，400元/人；答辩委员会成员5-7人，400元/人；答辩委员会秘书1人，70元/人，合计3270-4070元。</w:t>
      </w:r>
    </w:p>
    <w:p>
      <w:pPr>
        <w:pStyle w:val="3"/>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right="0" w:rightChars="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3.答辩酬金发放</w:t>
      </w:r>
    </w:p>
    <w:p>
      <w:pPr>
        <w:pStyle w:val="3"/>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right="0" w:rightChars="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校内人员酬金纳入学院年度绩效统一归口管理，由学院统筹安排，集中发放；校外人员酬金由各系统计造表，学院统一支付，实时发放。</w:t>
      </w:r>
    </w:p>
    <w:p>
      <w:pPr>
        <w:keepNext w:val="0"/>
        <w:keepLines w:val="0"/>
        <w:pageBreakBefore w:val="0"/>
        <w:widowControl w:val="0"/>
        <w:kinsoku/>
        <w:wordWrap/>
        <w:overflowPunct/>
        <w:topLinePunct w:val="0"/>
        <w:autoSpaceDE/>
        <w:autoSpaceDN/>
        <w:bidi w:val="0"/>
        <w:adjustRightInd/>
        <w:snapToGrid/>
        <w:spacing w:before="157" w:beforeLines="50" w:line="52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八、本规定由学院党政联席会议负责解释，自2017年5月1日起施行。</w:t>
      </w:r>
    </w:p>
    <w:p>
      <w:pPr>
        <w:keepNext w:val="0"/>
        <w:keepLines w:val="0"/>
        <w:pageBreakBefore w:val="0"/>
        <w:kinsoku/>
        <w:wordWrap/>
        <w:overflowPunct/>
        <w:topLinePunct w:val="0"/>
        <w:autoSpaceDE/>
        <w:autoSpaceDN/>
        <w:bidi w:val="0"/>
        <w:adjustRightInd/>
        <w:spacing w:line="520" w:lineRule="exact"/>
        <w:ind w:right="0" w:rightChars="0"/>
        <w:textAlignment w:val="auto"/>
        <w:outlineLvl w:val="9"/>
        <w:rPr>
          <w:rFonts w:hint="eastAsia" w:ascii="黑体" w:hAnsi="黑体" w:eastAsia="黑体" w:cs="黑体"/>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right="0" w:rightChars="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武汉大学土木建筑工程学院</w:t>
      </w:r>
    </w:p>
    <w:p>
      <w:pPr>
        <w:pStyle w:val="3"/>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right="0" w:rightChars="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2017年4月28日</w:t>
      </w:r>
    </w:p>
    <w:p>
      <w:pPr>
        <w:spacing w:line="380" w:lineRule="exact"/>
        <w:rPr>
          <w:rFonts w:hint="eastAsia" w:ascii="仿宋" w:hAnsi="仿宋" w:eastAsia="仿宋" w:cs="仿宋"/>
          <w:sz w:val="32"/>
          <w:szCs w:val="32"/>
          <w:lang w:val="en-US" w:eastAsia="zh-CN"/>
        </w:rPr>
      </w:pPr>
    </w:p>
    <w:p>
      <w:pPr>
        <w:spacing w:line="380" w:lineRule="exact"/>
        <w:rPr>
          <w:rFonts w:hint="eastAsia" w:ascii="仿宋" w:hAnsi="仿宋" w:eastAsia="仿宋" w:cs="仿宋"/>
          <w:sz w:val="32"/>
          <w:szCs w:val="32"/>
          <w:lang w:val="en-US" w:eastAsia="zh-CN"/>
        </w:rPr>
      </w:pPr>
    </w:p>
    <w:p>
      <w:pPr>
        <w:spacing w:line="380" w:lineRule="exact"/>
        <w:rPr>
          <w:rFonts w:hint="eastAsia" w:ascii="仿宋" w:hAnsi="仿宋" w:eastAsia="仿宋" w:cs="仿宋"/>
          <w:sz w:val="32"/>
          <w:szCs w:val="32"/>
          <w:lang w:val="en-US" w:eastAsia="zh-CN"/>
        </w:rPr>
      </w:pPr>
    </w:p>
    <w:p>
      <w:pPr>
        <w:pBdr>
          <w:bottom w:val="single" w:color="auto" w:sz="6" w:space="1"/>
          <w:between w:val="single" w:color="auto" w:sz="6" w:space="1"/>
        </w:pBdr>
        <w:spacing w:line="380" w:lineRule="exact"/>
        <w:rPr>
          <w:rFonts w:hint="eastAsia" w:ascii="仿宋" w:hAnsi="仿宋" w:eastAsia="仿宋" w:cs="仿宋"/>
          <w:sz w:val="28"/>
          <w:szCs w:val="28"/>
        </w:rPr>
      </w:pPr>
    </w:p>
    <w:p>
      <w:pPr>
        <w:pBdr>
          <w:bottom w:val="single" w:color="auto" w:sz="6" w:space="1"/>
          <w:between w:val="single" w:color="auto" w:sz="6" w:space="1"/>
        </w:pBdr>
        <w:spacing w:line="380" w:lineRule="exact"/>
      </w:pPr>
      <w:r>
        <w:rPr>
          <w:rFonts w:hint="eastAsia" w:ascii="仿宋" w:hAnsi="仿宋" w:eastAsia="仿宋" w:cs="仿宋"/>
          <w:color w:val="auto"/>
          <w:sz w:val="28"/>
          <w:szCs w:val="28"/>
        </w:rPr>
        <w:t xml:space="preserve">武汉大学土木建筑工程学院党政办公室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2017年</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日印发</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_x000B__x000C_">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roman"/>
    <w:pitch w:val="default"/>
    <w:sig w:usb0="FFFFFFFF" w:usb1="E9FFFFFF" w:usb2="0000003F" w:usb3="00000000" w:csb0="603F01FF" w:csb1="FFFF0000"/>
  </w:font>
  <w:font w:name="Microsoft Sans Serif">
    <w:panose1 w:val="020B0604020202020204"/>
    <w:charset w:val="00"/>
    <w:family w:val="swiss"/>
    <w:pitch w:val="default"/>
    <w:sig w:usb0="E1002AFF" w:usb1="C0000002" w:usb2="00000008"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方正姚体">
    <w:panose1 w:val="02010601030101010101"/>
    <w:charset w:val="86"/>
    <w:family w:val="auto"/>
    <w:pitch w:val="default"/>
    <w:sig w:usb0="00000003"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icrosoft JhengHei">
    <w:panose1 w:val="020B0604030504040204"/>
    <w:charset w:val="88"/>
    <w:family w:val="auto"/>
    <w:pitch w:val="default"/>
    <w:sig w:usb0="00000087" w:usb1="28AF4000" w:usb2="00000016" w:usb3="00000000" w:csb0="00100009" w:csb1="00000000"/>
  </w:font>
  <w:font w:name="MS Mincho">
    <w:panose1 w:val="02020609040205080304"/>
    <w:charset w:val="80"/>
    <w:family w:val="auto"/>
    <w:pitch w:val="default"/>
    <w:sig w:usb0="E00002FF" w:usb1="6AC7FDFB" w:usb2="00000012" w:usb3="00000000" w:csb0="4002009F" w:csb1="DFD70000"/>
  </w:font>
  <w:font w:name="MS Gothic">
    <w:panose1 w:val="020B0609070205080204"/>
    <w:charset w:val="80"/>
    <w:family w:val="auto"/>
    <w:pitch w:val="default"/>
    <w:sig w:usb0="E00002FF" w:usb1="6AC7FDFB" w:usb2="00000012" w:usb3="00000000" w:csb0="4002009F" w:csb1="DFD70000"/>
  </w:font>
  <w:font w:name="PMingLiU-ExtB">
    <w:panose1 w:val="02020500000000000000"/>
    <w:charset w:val="88"/>
    <w:family w:val="auto"/>
    <w:pitch w:val="default"/>
    <w:sig w:usb0="8000002F" w:usb1="02000008" w:usb2="00000000" w:usb3="00000000" w:csb0="00100001" w:csb1="00000000"/>
  </w:font>
  <w:font w:name="Agency FB">
    <w:panose1 w:val="020B0503020202020204"/>
    <w:charset w:val="00"/>
    <w:family w:val="auto"/>
    <w:pitch w:val="default"/>
    <w:sig w:usb0="00000003" w:usb1="00000000" w:usb2="00000000" w:usb3="00000000" w:csb0="20000001" w:csb1="00000000"/>
  </w:font>
  <w:font w:name="Aparajita">
    <w:panose1 w:val="020B0604020202020204"/>
    <w:charset w:val="00"/>
    <w:family w:val="auto"/>
    <w:pitch w:val="default"/>
    <w:sig w:usb0="00008003" w:usb1="00000000" w:usb2="00000000" w:usb3="00000000" w:csb0="00000001" w:csb1="00000000"/>
  </w:font>
  <w:font w:name="Baskerville Old Face">
    <w:panose1 w:val="02020602080505020303"/>
    <w:charset w:val="00"/>
    <w:family w:val="auto"/>
    <w:pitch w:val="default"/>
    <w:sig w:usb0="00000003" w:usb1="00000000" w:usb2="00000000" w:usb3="00000000" w:csb0="20000001" w:csb1="00000000"/>
  </w:font>
  <w:font w:name="Bernard MT Condensed">
    <w:panose1 w:val="02050806060905020404"/>
    <w:charset w:val="00"/>
    <w:family w:val="auto"/>
    <w:pitch w:val="default"/>
    <w:sig w:usb0="00000003" w:usb1="00000000" w:usb2="00000000" w:usb3="00000000" w:csb0="20000001" w:csb1="0000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UPC">
    <w:panose1 w:val="020B0604020202020204"/>
    <w:charset w:val="00"/>
    <w:family w:val="auto"/>
    <w:pitch w:val="default"/>
    <w:sig w:usb0="81000003" w:usb1="00000000" w:usb2="00000000" w:usb3="00000000" w:csb0="00010001" w:csb1="00000000"/>
  </w:font>
  <w:font w:name="Brush Script MT">
    <w:panose1 w:val="03060802040406070304"/>
    <w:charset w:val="00"/>
    <w:family w:val="auto"/>
    <w:pitch w:val="default"/>
    <w:sig w:usb0="00000003" w:usb1="00000000" w:usb2="00000000" w:usb3="00000000" w:csb0="20000001" w:csb1="00000000"/>
  </w:font>
  <w:font w:name="Vijaya">
    <w:panose1 w:val="020B0604020202020204"/>
    <w:charset w:val="00"/>
    <w:family w:val="auto"/>
    <w:pitch w:val="default"/>
    <w:sig w:usb0="00100003" w:usb1="00000000" w:usb2="00000000" w:usb3="00000000" w:csb0="00000001" w:csb1="00000000"/>
  </w:font>
  <w:font w:name="Vani">
    <w:panose1 w:val="020B0502040204020203"/>
    <w:charset w:val="00"/>
    <w:family w:val="auto"/>
    <w:pitch w:val="default"/>
    <w:sig w:usb0="002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Tw Cen MT Condensed Extra Bold">
    <w:panose1 w:val="020B0803020202020204"/>
    <w:charset w:val="00"/>
    <w:family w:val="auto"/>
    <w:pitch w:val="default"/>
    <w:sig w:usb0="00000003" w:usb1="00000000" w:usb2="00000000" w:usb3="00000000" w:csb0="20000003" w:csb1="00000000"/>
  </w:font>
  <w:font w:name="Tw Cen MT Condensed">
    <w:panose1 w:val="020B0606020104020203"/>
    <w:charset w:val="00"/>
    <w:family w:val="auto"/>
    <w:pitch w:val="default"/>
    <w:sig w:usb0="00000003" w:usb1="00000000" w:usb2="00000000" w:usb3="00000000" w:csb0="20000003" w:csb1="00000000"/>
  </w:font>
  <w:font w:name="Tw Cen MT">
    <w:panose1 w:val="020B0602020104020603"/>
    <w:charset w:val="00"/>
    <w:family w:val="auto"/>
    <w:pitch w:val="default"/>
    <w:sig w:usb0="00000003" w:usb1="00000000" w:usb2="00000000" w:usb3="00000000" w:csb0="20000003"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96761B"/>
    <w:rsid w:val="359676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Normal (Web)"/>
    <w:basedOn w:val="1"/>
    <w:uiPriority w:val="0"/>
    <w:pPr>
      <w:jc w:val="left"/>
    </w:pPr>
    <w:rPr>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2017-06-09T02:51:00Z</dcterms:created>
  <dc:creator>Administrator</dc:creator>
  <cp:lastModifiedBy>Administrator</cp:lastModifiedBy>
  <dcterms:modified xsi:type="dcterms:W3CDTF">2017-06-09T02:52:13Z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